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E4" w:rsidRDefault="00CA1B72" w:rsidP="008B645C">
      <w:pPr>
        <w:jc w:val="center"/>
      </w:pPr>
      <w:bookmarkStart w:id="0" w:name="_GoBack"/>
      <w:bookmarkEnd w:id="0"/>
      <w:r>
        <w:rPr>
          <w:b/>
        </w:rPr>
        <w:t>ANEXO I</w:t>
      </w:r>
      <w:r>
        <w:t xml:space="preserve"> </w:t>
      </w:r>
      <w:r>
        <w:rPr>
          <w:b/>
        </w:rPr>
        <w:t xml:space="preserve">- Tabela de pontuação do currículo </w:t>
      </w:r>
      <w:proofErr w:type="gramStart"/>
      <w:r>
        <w:rPr>
          <w:b/>
        </w:rPr>
        <w:t>do</w:t>
      </w:r>
      <w:r w:rsidR="004B01F9">
        <w:rPr>
          <w:b/>
        </w:rPr>
        <w:t>(</w:t>
      </w:r>
      <w:proofErr w:type="gramEnd"/>
      <w:r w:rsidR="004B01F9">
        <w:rPr>
          <w:b/>
        </w:rPr>
        <w:t>a)</w:t>
      </w:r>
      <w:r>
        <w:rPr>
          <w:b/>
        </w:rPr>
        <w:t xml:space="preserve"> coordenador</w:t>
      </w:r>
      <w:r w:rsidR="004B01F9">
        <w:rPr>
          <w:b/>
        </w:rPr>
        <w:t>(a)</w:t>
      </w:r>
      <w:r>
        <w:rPr>
          <w:b/>
        </w:rPr>
        <w:t xml:space="preserve"> da equipe</w:t>
      </w:r>
    </w:p>
    <w:p w:rsidR="00BB6DE4" w:rsidRDefault="00BB6DE4">
      <w:pPr>
        <w:widowControl w:val="0"/>
        <w:spacing w:before="3" w:line="360" w:lineRule="auto"/>
        <w:jc w:val="left"/>
      </w:pPr>
    </w:p>
    <w:tbl>
      <w:tblPr>
        <w:tblStyle w:val="ab"/>
        <w:tblW w:w="940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55"/>
        <w:gridCol w:w="1650"/>
      </w:tblGrid>
      <w:tr w:rsidR="00BB6DE4">
        <w:trPr>
          <w:trHeight w:val="282"/>
        </w:trPr>
        <w:tc>
          <w:tcPr>
            <w:tcW w:w="9405" w:type="dxa"/>
            <w:gridSpan w:val="2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  <w:rPr>
                <w:b/>
              </w:rPr>
            </w:pPr>
            <w:r>
              <w:rPr>
                <w:b/>
              </w:rPr>
              <w:t xml:space="preserve">Nome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 Coordenador</w:t>
            </w:r>
            <w:r w:rsidR="004B01F9">
              <w:rPr>
                <w:b/>
              </w:rPr>
              <w:t>(</w:t>
            </w:r>
            <w:r>
              <w:rPr>
                <w:b/>
              </w:rPr>
              <w:t>a):</w:t>
            </w:r>
          </w:p>
        </w:tc>
      </w:tr>
      <w:tr w:rsidR="00BB6DE4">
        <w:trPr>
          <w:trHeight w:val="280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1855"/>
              <w:jc w:val="left"/>
            </w:pPr>
            <w:r>
              <w:rPr>
                <w:b/>
              </w:rPr>
              <w:t xml:space="preserve">DISCRIMINAÇÃO </w:t>
            </w:r>
            <w:r>
              <w:t>- (currículo Lattes/</w:t>
            </w:r>
            <w:proofErr w:type="gramStart"/>
            <w:r>
              <w:t>CNPq )</w:t>
            </w:r>
            <w:proofErr w:type="gramEnd"/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6"/>
              <w:jc w:val="center"/>
              <w:rPr>
                <w:b/>
              </w:rPr>
            </w:pPr>
            <w:r>
              <w:rPr>
                <w:b/>
              </w:rPr>
              <w:t>Valor item</w:t>
            </w:r>
          </w:p>
        </w:tc>
      </w:tr>
      <w:tr w:rsidR="00BB6DE4">
        <w:trPr>
          <w:trHeight w:val="282"/>
        </w:trPr>
        <w:tc>
          <w:tcPr>
            <w:tcW w:w="9405" w:type="dxa"/>
            <w:gridSpan w:val="2"/>
            <w:shd w:val="clear" w:color="auto" w:fill="C0C0C0"/>
          </w:tcPr>
          <w:p w:rsidR="00BB6DE4" w:rsidRDefault="00CA1B72">
            <w:pPr>
              <w:widowControl w:val="0"/>
              <w:spacing w:before="39" w:line="360" w:lineRule="auto"/>
              <w:ind w:left="1490"/>
              <w:jc w:val="left"/>
              <w:rPr>
                <w:b/>
              </w:rPr>
            </w:pPr>
            <w:r>
              <w:rPr>
                <w:b/>
              </w:rPr>
              <w:t>Títulos decorrentes de atividade didática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>1.01 – Orientação de Iniciação científica no IFSul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6DE4">
        <w:trPr>
          <w:trHeight w:val="280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>1.02 – Orientação de Monografia Graduação ou Especialização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6DE4">
        <w:trPr>
          <w:trHeight w:val="390"/>
        </w:trPr>
        <w:tc>
          <w:tcPr>
            <w:tcW w:w="7755" w:type="dxa"/>
          </w:tcPr>
          <w:p w:rsidR="00BB6DE4" w:rsidRDefault="00CA1B72">
            <w:pPr>
              <w:widowControl w:val="0"/>
              <w:spacing w:before="8" w:line="360" w:lineRule="auto"/>
              <w:ind w:left="498" w:hanging="428"/>
              <w:jc w:val="left"/>
            </w:pPr>
            <w:r>
              <w:t>1.03 – Orientação concluída de outra natureza, como: TCC de curso técnico e prática profissional: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94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6DE4">
        <w:trPr>
          <w:trHeight w:val="283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0" w:line="360" w:lineRule="auto"/>
              <w:ind w:left="71"/>
              <w:jc w:val="left"/>
            </w:pPr>
            <w:r>
              <w:t>1.04 – Orientação de Dissertações de Mestrado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0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4" w:line="360" w:lineRule="auto"/>
              <w:ind w:left="71"/>
              <w:jc w:val="left"/>
            </w:pPr>
            <w:r>
              <w:t>1.05 – Orientação de tese de Doutorado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4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B6DE4">
        <w:trPr>
          <w:trHeight w:val="280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2" w:line="360" w:lineRule="auto"/>
              <w:ind w:left="71"/>
              <w:jc w:val="left"/>
            </w:pPr>
            <w:r>
              <w:t>1.06 – Projeto de Pesquisa Concluído no IFSul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2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4" w:line="360" w:lineRule="auto"/>
              <w:ind w:left="71"/>
              <w:jc w:val="left"/>
            </w:pPr>
            <w:r>
              <w:t>1.07 – Participação em Banca de Graduação ou Especialização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4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2" w:line="360" w:lineRule="auto"/>
              <w:ind w:left="71"/>
              <w:jc w:val="left"/>
            </w:pPr>
            <w:r>
              <w:t>1.08 – Participação em Banca de Mestrado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2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6DE4">
        <w:trPr>
          <w:trHeight w:val="285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2" w:line="360" w:lineRule="auto"/>
              <w:ind w:left="71"/>
              <w:jc w:val="left"/>
            </w:pPr>
            <w:r>
              <w:t>1.09 – Participação em Banca de Doutorado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2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B6DE4">
        <w:trPr>
          <w:trHeight w:val="280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>1.10 – Participação em Bancas de Comissões Julgadoras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6DE4">
        <w:trPr>
          <w:trHeight w:val="280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>1.11 – Projetos de Pesquisa Concluídos na Instituição como membro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6DE4">
        <w:trPr>
          <w:trHeight w:val="282"/>
        </w:trPr>
        <w:tc>
          <w:tcPr>
            <w:tcW w:w="9405" w:type="dxa"/>
            <w:gridSpan w:val="2"/>
            <w:shd w:val="clear" w:color="auto" w:fill="C0C0C0"/>
          </w:tcPr>
          <w:p w:rsidR="00BB6DE4" w:rsidRDefault="00CA1B72">
            <w:pPr>
              <w:widowControl w:val="0"/>
              <w:spacing w:before="39" w:line="360" w:lineRule="auto"/>
              <w:ind w:left="1471" w:right="1331"/>
              <w:jc w:val="center"/>
            </w:pPr>
            <w:r>
              <w:rPr>
                <w:b/>
              </w:rPr>
              <w:t>Títulos Decorrentes de Atividades Científicas e Tecnológicas</w:t>
            </w:r>
            <w:r>
              <w:t>)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>2.01 – Livro publicado com ISBN (Sem limite)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1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B6DE4">
        <w:trPr>
          <w:trHeight w:val="388"/>
        </w:trPr>
        <w:tc>
          <w:tcPr>
            <w:tcW w:w="7755" w:type="dxa"/>
          </w:tcPr>
          <w:p w:rsidR="00BB6DE4" w:rsidRDefault="00CA1B72">
            <w:pPr>
              <w:widowControl w:val="0"/>
              <w:spacing w:before="7" w:line="360" w:lineRule="auto"/>
              <w:ind w:left="71" w:right="349"/>
              <w:jc w:val="left"/>
            </w:pPr>
            <w:r>
              <w:t>2.02 – Capítulo em livro publicado – valor por livro, independentemente, do número de capítulos – com ISBN (Sem limite)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94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 xml:space="preserve">2.03 – </w:t>
            </w:r>
            <w:proofErr w:type="spellStart"/>
            <w:r>
              <w:rPr>
                <w:i/>
              </w:rPr>
              <w:t>Qualis</w:t>
            </w:r>
            <w:proofErr w:type="spellEnd"/>
            <w:r>
              <w:rPr>
                <w:i/>
              </w:rPr>
              <w:t xml:space="preserve"> </w:t>
            </w:r>
            <w:r>
              <w:t>A1 – A2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1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B6DE4">
        <w:trPr>
          <w:trHeight w:val="283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 xml:space="preserve">2.04 – </w:t>
            </w:r>
            <w:proofErr w:type="spellStart"/>
            <w:r>
              <w:rPr>
                <w:i/>
              </w:rPr>
              <w:t>Qualis</w:t>
            </w:r>
            <w:proofErr w:type="spellEnd"/>
            <w:r>
              <w:rPr>
                <w:i/>
              </w:rPr>
              <w:t xml:space="preserve"> </w:t>
            </w:r>
            <w:r>
              <w:t>B1 – B2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B6DE4">
        <w:trPr>
          <w:trHeight w:val="280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 xml:space="preserve">2.05 – </w:t>
            </w:r>
            <w:proofErr w:type="spellStart"/>
            <w:r>
              <w:rPr>
                <w:i/>
              </w:rPr>
              <w:t>Qualis</w:t>
            </w:r>
            <w:proofErr w:type="spellEnd"/>
            <w:r>
              <w:rPr>
                <w:i/>
              </w:rPr>
              <w:t xml:space="preserve"> </w:t>
            </w:r>
            <w:r>
              <w:t>B3 – B4 – B5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 xml:space="preserve">2.06 – </w:t>
            </w:r>
            <w:proofErr w:type="spellStart"/>
            <w:r>
              <w:rPr>
                <w:i/>
              </w:rPr>
              <w:t>Qualis</w:t>
            </w:r>
            <w:proofErr w:type="spellEnd"/>
            <w:r>
              <w:rPr>
                <w:i/>
              </w:rPr>
              <w:t xml:space="preserve"> </w:t>
            </w:r>
            <w:r>
              <w:t>C - Identificar o ISSN – (Sem limite)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2" w:line="360" w:lineRule="auto"/>
              <w:ind w:left="71"/>
              <w:jc w:val="left"/>
            </w:pPr>
            <w:r>
              <w:t>2.07 – Participação como conferencista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2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2" w:line="360" w:lineRule="auto"/>
              <w:ind w:left="71"/>
              <w:jc w:val="left"/>
            </w:pPr>
            <w:r>
              <w:t>2.08 – Trabalho completo publicado em anais internacionais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2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B6DE4">
        <w:trPr>
          <w:trHeight w:val="280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2" w:line="360" w:lineRule="auto"/>
              <w:ind w:left="71"/>
              <w:jc w:val="left"/>
            </w:pPr>
            <w:r>
              <w:t>2.09 – Trabalho completo publicado em anais nacionais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2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4" w:line="360" w:lineRule="auto"/>
              <w:ind w:left="71"/>
              <w:jc w:val="left"/>
            </w:pPr>
            <w:r>
              <w:t>2.10 – Trabalho publicado em anais de eventos de iniciação científica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4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2" w:line="360" w:lineRule="auto"/>
              <w:ind w:left="71"/>
              <w:jc w:val="left"/>
            </w:pPr>
            <w:r>
              <w:lastRenderedPageBreak/>
              <w:t>2.11 – Produção de trabalhos Técnicos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2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B6DE4">
        <w:trPr>
          <w:trHeight w:val="285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2" w:line="360" w:lineRule="auto"/>
              <w:ind w:left="71"/>
              <w:jc w:val="left"/>
            </w:pPr>
            <w:r>
              <w:t>2.12 – Registro de Propriedade intelectual no INPI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2" w:line="360" w:lineRule="auto"/>
              <w:ind w:left="1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B6DE4">
        <w:trPr>
          <w:trHeight w:val="280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>2.13 – Membro de Corpo Editorial de periódicos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>2.14 – Revisão de Periódicos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>2.15 – Premiações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B6DE4">
        <w:trPr>
          <w:trHeight w:val="280"/>
        </w:trPr>
        <w:tc>
          <w:tcPr>
            <w:tcW w:w="9405" w:type="dxa"/>
            <w:gridSpan w:val="2"/>
            <w:shd w:val="clear" w:color="auto" w:fill="C0C0C0"/>
          </w:tcPr>
          <w:p w:rsidR="00BB6DE4" w:rsidRDefault="00CA1B72">
            <w:pPr>
              <w:widowControl w:val="0"/>
              <w:spacing w:before="39" w:line="360" w:lineRule="auto"/>
              <w:ind w:left="1490"/>
              <w:jc w:val="left"/>
              <w:rPr>
                <w:b/>
              </w:rPr>
            </w:pPr>
            <w:r>
              <w:rPr>
                <w:b/>
              </w:rPr>
              <w:t>Títulos decorrentes de atividades acadêmicas</w:t>
            </w:r>
          </w:p>
        </w:tc>
      </w:tr>
      <w:tr w:rsidR="00BB6DE4">
        <w:trPr>
          <w:trHeight w:val="283"/>
        </w:trPr>
        <w:tc>
          <w:tcPr>
            <w:tcW w:w="7755" w:type="dxa"/>
          </w:tcPr>
          <w:p w:rsidR="00BB6DE4" w:rsidRDefault="00CA1B72">
            <w:pPr>
              <w:widowControl w:val="0"/>
              <w:spacing w:before="40" w:line="360" w:lineRule="auto"/>
              <w:ind w:left="71"/>
              <w:jc w:val="left"/>
            </w:pPr>
            <w:r>
              <w:t>3.01 – Doutorado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40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>3.02 – Mestrado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B6DE4">
        <w:trPr>
          <w:trHeight w:val="282"/>
        </w:trPr>
        <w:tc>
          <w:tcPr>
            <w:tcW w:w="7755" w:type="dxa"/>
          </w:tcPr>
          <w:p w:rsidR="00BB6DE4" w:rsidRDefault="00CA1B72">
            <w:pPr>
              <w:widowControl w:val="0"/>
              <w:spacing w:before="39" w:line="360" w:lineRule="auto"/>
              <w:ind w:left="71"/>
              <w:jc w:val="left"/>
            </w:pPr>
            <w:r>
              <w:t>3.03 – Especialização ou em processo de capacitação para mestre</w:t>
            </w:r>
          </w:p>
        </w:tc>
        <w:tc>
          <w:tcPr>
            <w:tcW w:w="1650" w:type="dxa"/>
          </w:tcPr>
          <w:p w:rsidR="00BB6DE4" w:rsidRDefault="00CA1B72">
            <w:pPr>
              <w:widowControl w:val="0"/>
              <w:spacing w:before="39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B6DE4" w:rsidRDefault="00BB6DE4">
      <w:pPr>
        <w:widowControl w:val="0"/>
        <w:spacing w:line="360" w:lineRule="auto"/>
        <w:jc w:val="left"/>
      </w:pPr>
    </w:p>
    <w:p w:rsidR="00BB6DE4" w:rsidRDefault="00BB6DE4">
      <w:pPr>
        <w:widowControl w:val="0"/>
        <w:spacing w:line="360" w:lineRule="auto"/>
        <w:jc w:val="left"/>
      </w:pPr>
    </w:p>
    <w:p w:rsidR="00BB6DE4" w:rsidRDefault="00BB6DE4">
      <w:pPr>
        <w:widowControl w:val="0"/>
        <w:spacing w:line="360" w:lineRule="auto"/>
        <w:jc w:val="left"/>
        <w:rPr>
          <w:b/>
        </w:rPr>
      </w:pPr>
    </w:p>
    <w:sectPr w:rsidR="00BB6DE4">
      <w:headerReference w:type="default" r:id="rId8"/>
      <w:footerReference w:type="default" r:id="rId9"/>
      <w:pgSz w:w="11910" w:h="16840"/>
      <w:pgMar w:top="1240" w:right="1278" w:bottom="1418" w:left="1134" w:header="142" w:footer="5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5C4" w:rsidRDefault="00D035C4">
      <w:pPr>
        <w:spacing w:line="240" w:lineRule="auto"/>
      </w:pPr>
      <w:r>
        <w:separator/>
      </w:r>
    </w:p>
  </w:endnote>
  <w:endnote w:type="continuationSeparator" w:id="0">
    <w:p w:rsidR="00D035C4" w:rsidRDefault="00D03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2" w:rsidRDefault="00CA1B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9762FD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9762FD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:rsidR="00CA1B72" w:rsidRDefault="00CA1B72">
    <w:pPr>
      <w:spacing w:line="14" w:lineRule="auto"/>
    </w:pPr>
  </w:p>
  <w:p w:rsidR="00CA1B72" w:rsidRDefault="00CA1B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5C4" w:rsidRDefault="00D035C4">
      <w:pPr>
        <w:spacing w:line="240" w:lineRule="auto"/>
      </w:pPr>
      <w:r>
        <w:separator/>
      </w:r>
    </w:p>
  </w:footnote>
  <w:footnote w:type="continuationSeparator" w:id="0">
    <w:p w:rsidR="00D035C4" w:rsidRDefault="00D03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2" w:rsidRDefault="00CA1B72">
    <w:pPr>
      <w:tabs>
        <w:tab w:val="center" w:pos="4419"/>
        <w:tab w:val="right" w:pos="8838"/>
      </w:tabs>
      <w:spacing w:line="240" w:lineRule="auto"/>
      <w:jc w:val="center"/>
      <w:rPr>
        <w:b/>
        <w:color w:val="000000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>
          <wp:extent cx="619125" cy="6191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E4121"/>
    <w:multiLevelType w:val="multilevel"/>
    <w:tmpl w:val="7B3ABC36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PargrafodeEdital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1011F8"/>
    <w:multiLevelType w:val="multilevel"/>
    <w:tmpl w:val="F1667D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544B54"/>
    <w:multiLevelType w:val="multilevel"/>
    <w:tmpl w:val="4C3A9C4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7"/>
      </w:pPr>
      <w:rPr>
        <w:rFonts w:ascii="Arial" w:eastAsia="Arial" w:hAnsi="Arial" w:cs="Arial"/>
        <w:b w:val="0"/>
      </w:r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834144"/>
    <w:multiLevelType w:val="multilevel"/>
    <w:tmpl w:val="17FED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E4"/>
    <w:rsid w:val="00277E4A"/>
    <w:rsid w:val="004B01F9"/>
    <w:rsid w:val="007A6D5F"/>
    <w:rsid w:val="008B645C"/>
    <w:rsid w:val="009762FD"/>
    <w:rsid w:val="00A14B88"/>
    <w:rsid w:val="00BB6DE4"/>
    <w:rsid w:val="00CA1B72"/>
    <w:rsid w:val="00D035C4"/>
    <w:rsid w:val="00F5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D836E-C90A-44FC-9BD5-5BC3658B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1E"/>
  </w:style>
  <w:style w:type="paragraph" w:styleId="Ttulo1">
    <w:name w:val="heading 1"/>
    <w:basedOn w:val="Normal"/>
    <w:next w:val="Normal"/>
    <w:link w:val="Ttulo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pPr>
      <w:spacing w:before="199"/>
      <w:ind w:left="117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39E2"/>
  </w:style>
  <w:style w:type="paragraph" w:styleId="Rodap">
    <w:name w:val="footer"/>
    <w:basedOn w:val="Normal"/>
    <w:link w:val="Rodap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9E2"/>
  </w:style>
  <w:style w:type="table" w:styleId="Tabelacomgrade">
    <w:name w:val="Table Grid"/>
    <w:basedOn w:val="Tabelanormal"/>
    <w:uiPriority w:val="39"/>
    <w:rsid w:val="004C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elanormal"/>
    <w:uiPriority w:val="48"/>
    <w:rsid w:val="00D226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tulo1Char">
    <w:name w:val="Título 1 Char"/>
    <w:basedOn w:val="Fontepargpadro"/>
    <w:link w:val="Ttulo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customStyle="1" w:styleId="TtuloChar">
    <w:name w:val="Título Char"/>
    <w:basedOn w:val="Fontepargpadro"/>
    <w:link w:val="Ttulo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tulo">
    <w:name w:val="Subtitle"/>
    <w:basedOn w:val="Normal"/>
    <w:next w:val="Normal"/>
    <w:link w:val="SubttuloChar"/>
    <w:pPr>
      <w:spacing w:line="240" w:lineRule="auto"/>
    </w:pPr>
    <w:rPr>
      <w:rFonts w:ascii="Cambria" w:eastAsia="Cambria" w:hAnsi="Cambria" w:cs="Cambria"/>
    </w:rPr>
  </w:style>
  <w:style w:type="character" w:customStyle="1" w:styleId="SubttuloChar">
    <w:name w:val="Subtítulo Char"/>
    <w:basedOn w:val="Fontepargpadro"/>
    <w:link w:val="Subttulo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D08E6"/>
    <w:rPr>
      <w:b/>
      <w:bCs/>
    </w:rPr>
  </w:style>
  <w:style w:type="character" w:styleId="nfase">
    <w:name w:val="Emphasis"/>
    <w:basedOn w:val="Fontepargpadro"/>
    <w:uiPriority w:val="20"/>
    <w:qFormat/>
    <w:rsid w:val="008D08E6"/>
    <w:rPr>
      <w:i/>
      <w:iCs/>
    </w:rPr>
  </w:style>
  <w:style w:type="paragraph" w:styleId="SemEspaamento">
    <w:name w:val="No Spacing"/>
    <w:uiPriority w:val="1"/>
    <w:qFormat/>
    <w:rsid w:val="008D08E6"/>
    <w:pPr>
      <w:spacing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08E6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D08E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08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D08E6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D08E6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Fontepargpadro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2498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2498"/>
  </w:style>
  <w:style w:type="character" w:styleId="Refdenotaderodap">
    <w:name w:val="footnote reference"/>
    <w:basedOn w:val="Fontepargpadro"/>
    <w:uiPriority w:val="99"/>
    <w:semiHidden/>
    <w:unhideWhenUsed/>
    <w:rsid w:val="00A8249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B11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13B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1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1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13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tulo"/>
    <w:qFormat/>
    <w:rsid w:val="007E044B"/>
    <w:rPr>
      <w:rFonts w:eastAsia="Times New Roman"/>
      <w:sz w:val="32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msf8i7yLkaX62JbseDaNfYzHHw==">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Anderson</dc:creator>
  <cp:lastModifiedBy>Vinicius Martins</cp:lastModifiedBy>
  <cp:revision>6</cp:revision>
  <cp:lastPrinted>2020-11-12T01:31:00Z</cp:lastPrinted>
  <dcterms:created xsi:type="dcterms:W3CDTF">2020-11-10T01:32:00Z</dcterms:created>
  <dcterms:modified xsi:type="dcterms:W3CDTF">2020-11-12T01:31:00Z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2020-04-09T00:00:00Z</vt:filetime>
  </property>
</Properties>
</file>