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D61" w:rsidRDefault="001417B8">
      <w:pPr>
        <w:pStyle w:val="Corpodetexto"/>
        <w:spacing w:before="78"/>
        <w:ind w:right="115"/>
        <w:jc w:val="right"/>
      </w:pPr>
      <w:r>
        <w:t>1</w:t>
      </w:r>
    </w:p>
    <w:p w:rsidR="008C2D61" w:rsidRDefault="008C2D61">
      <w:pPr>
        <w:pStyle w:val="Corpodetexto"/>
        <w:rPr>
          <w:sz w:val="20"/>
        </w:rPr>
      </w:pPr>
    </w:p>
    <w:p w:rsidR="008C2D61" w:rsidRDefault="008C2D61">
      <w:pPr>
        <w:pStyle w:val="Corpodetexto"/>
        <w:rPr>
          <w:sz w:val="20"/>
        </w:rPr>
      </w:pPr>
    </w:p>
    <w:p w:rsidR="008C2D61" w:rsidRDefault="008C2D61">
      <w:pPr>
        <w:pStyle w:val="Corpodetexto"/>
        <w:rPr>
          <w:sz w:val="26"/>
        </w:rPr>
      </w:pPr>
    </w:p>
    <w:p w:rsidR="008C2D61" w:rsidRDefault="001417B8">
      <w:pPr>
        <w:pStyle w:val="Ttulo"/>
      </w:pPr>
      <w:r>
        <w:t>17 CRONOGRAMA ALTERADO</w:t>
      </w:r>
    </w:p>
    <w:p w:rsidR="008C2D61" w:rsidRDefault="008C2D61">
      <w:pPr>
        <w:pStyle w:val="Corpodetexto"/>
        <w:spacing w:before="6"/>
        <w:rPr>
          <w:b/>
          <w:sz w:val="16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5"/>
        <w:gridCol w:w="3589"/>
      </w:tblGrid>
      <w:tr w:rsidR="008C2D61">
        <w:trPr>
          <w:trHeight w:val="378"/>
        </w:trPr>
        <w:tc>
          <w:tcPr>
            <w:tcW w:w="5915" w:type="dxa"/>
          </w:tcPr>
          <w:p w:rsidR="008C2D61" w:rsidRDefault="001417B8">
            <w:pPr>
              <w:pStyle w:val="TableParagraph"/>
            </w:pPr>
            <w:r>
              <w:t>Publicação do Edital PIIEX Nº 05/2022</w:t>
            </w:r>
          </w:p>
        </w:tc>
        <w:tc>
          <w:tcPr>
            <w:tcW w:w="3589" w:type="dxa"/>
          </w:tcPr>
          <w:p w:rsidR="008C2D61" w:rsidRDefault="001417B8">
            <w:pPr>
              <w:pStyle w:val="TableParagraph"/>
              <w:ind w:left="238" w:right="211"/>
              <w:jc w:val="center"/>
            </w:pPr>
            <w:r>
              <w:t>23/08/2022</w:t>
            </w:r>
          </w:p>
        </w:tc>
      </w:tr>
      <w:tr w:rsidR="008C2D61">
        <w:trPr>
          <w:trHeight w:val="623"/>
        </w:trPr>
        <w:tc>
          <w:tcPr>
            <w:tcW w:w="5915" w:type="dxa"/>
          </w:tcPr>
          <w:p w:rsidR="008C2D61" w:rsidRDefault="001417B8">
            <w:pPr>
              <w:pStyle w:val="TableParagraph"/>
              <w:spacing w:before="110" w:line="252" w:lineRule="exact"/>
              <w:ind w:left="14" w:right="507" w:firstLine="86"/>
            </w:pPr>
            <w:r>
              <w:t>Data limite para entrega das propostas à/ao representante de extensão e cultura</w:t>
            </w:r>
          </w:p>
        </w:tc>
        <w:tc>
          <w:tcPr>
            <w:tcW w:w="3589" w:type="dxa"/>
          </w:tcPr>
          <w:p w:rsidR="008C2D61" w:rsidRDefault="001417B8">
            <w:pPr>
              <w:pStyle w:val="TableParagraph"/>
              <w:spacing w:before="106"/>
              <w:ind w:left="236" w:right="215"/>
              <w:jc w:val="center"/>
            </w:pPr>
            <w:r>
              <w:t>12/09/2022</w:t>
            </w:r>
          </w:p>
        </w:tc>
      </w:tr>
      <w:tr w:rsidR="008C2D61">
        <w:trPr>
          <w:trHeight w:val="625"/>
        </w:trPr>
        <w:tc>
          <w:tcPr>
            <w:tcW w:w="5915" w:type="dxa"/>
          </w:tcPr>
          <w:p w:rsidR="008C2D61" w:rsidRDefault="001417B8">
            <w:pPr>
              <w:pStyle w:val="TableParagraph"/>
              <w:spacing w:before="106" w:line="250" w:lineRule="atLeast"/>
              <w:ind w:left="14" w:right="494" w:firstLine="86"/>
            </w:pPr>
            <w:r>
              <w:t>Data limite para envio das propostas pela/o representante de extensão e cultura à PROEX</w:t>
            </w:r>
          </w:p>
        </w:tc>
        <w:tc>
          <w:tcPr>
            <w:tcW w:w="3589" w:type="dxa"/>
          </w:tcPr>
          <w:p w:rsidR="008C2D61" w:rsidRDefault="001417B8">
            <w:pPr>
              <w:pStyle w:val="TableParagraph"/>
              <w:spacing w:before="106"/>
              <w:ind w:left="236" w:right="215"/>
              <w:jc w:val="center"/>
            </w:pPr>
            <w:r>
              <w:t>13/09/2022</w:t>
            </w:r>
          </w:p>
        </w:tc>
      </w:tr>
      <w:tr w:rsidR="008C2D61">
        <w:trPr>
          <w:trHeight w:val="378"/>
        </w:trPr>
        <w:tc>
          <w:tcPr>
            <w:tcW w:w="5915" w:type="dxa"/>
          </w:tcPr>
          <w:p w:rsidR="008C2D61" w:rsidRDefault="001417B8">
            <w:pPr>
              <w:pStyle w:val="TableParagraph"/>
            </w:pPr>
            <w:r>
              <w:t>Período para a CAMEX/PROEX analisar e avaliar as propostas</w:t>
            </w:r>
          </w:p>
        </w:tc>
        <w:tc>
          <w:tcPr>
            <w:tcW w:w="3589" w:type="dxa"/>
          </w:tcPr>
          <w:p w:rsidR="008C2D61" w:rsidRDefault="001417B8">
            <w:pPr>
              <w:pStyle w:val="TableParagraph"/>
              <w:ind w:left="236" w:right="215"/>
              <w:jc w:val="center"/>
            </w:pPr>
            <w:r>
              <w:t>23/09/2022</w:t>
            </w:r>
          </w:p>
        </w:tc>
      </w:tr>
      <w:tr w:rsidR="008C2D61">
        <w:trPr>
          <w:trHeight w:val="376"/>
        </w:trPr>
        <w:tc>
          <w:tcPr>
            <w:tcW w:w="5915" w:type="dxa"/>
          </w:tcPr>
          <w:p w:rsidR="008C2D61" w:rsidRDefault="001417B8">
            <w:pPr>
              <w:pStyle w:val="TableParagraph"/>
              <w:spacing w:before="101"/>
            </w:pPr>
            <w:r>
              <w:t>Divulgação do resultado preliminar</w:t>
            </w:r>
          </w:p>
        </w:tc>
        <w:tc>
          <w:tcPr>
            <w:tcW w:w="3589" w:type="dxa"/>
          </w:tcPr>
          <w:p w:rsidR="008C2D61" w:rsidRDefault="001417B8">
            <w:pPr>
              <w:pStyle w:val="TableParagraph"/>
              <w:spacing w:before="101"/>
              <w:ind w:left="238" w:right="212"/>
              <w:jc w:val="center"/>
            </w:pPr>
            <w:r>
              <w:t>26/09/2022</w:t>
            </w:r>
          </w:p>
        </w:tc>
      </w:tr>
      <w:tr w:rsidR="008C2D61">
        <w:trPr>
          <w:trHeight w:val="381"/>
        </w:trPr>
        <w:tc>
          <w:tcPr>
            <w:tcW w:w="5915" w:type="dxa"/>
          </w:tcPr>
          <w:p w:rsidR="008C2D61" w:rsidRDefault="001417B8">
            <w:pPr>
              <w:pStyle w:val="TableParagraph"/>
              <w:spacing w:before="106"/>
            </w:pPr>
            <w:r>
              <w:t>Prazo para solicitação de vistas à planilha de avaliação</w:t>
            </w:r>
          </w:p>
        </w:tc>
        <w:tc>
          <w:tcPr>
            <w:tcW w:w="3589" w:type="dxa"/>
          </w:tcPr>
          <w:p w:rsidR="008C2D61" w:rsidRDefault="001417B8">
            <w:pPr>
              <w:pStyle w:val="TableParagraph"/>
              <w:spacing w:before="106"/>
              <w:ind w:left="238" w:right="212"/>
              <w:jc w:val="center"/>
            </w:pPr>
            <w:r>
              <w:t>27/09/2022</w:t>
            </w:r>
          </w:p>
        </w:tc>
      </w:tr>
      <w:tr w:rsidR="008C2D61">
        <w:trPr>
          <w:trHeight w:val="376"/>
        </w:trPr>
        <w:tc>
          <w:tcPr>
            <w:tcW w:w="5915" w:type="dxa"/>
          </w:tcPr>
          <w:p w:rsidR="008C2D61" w:rsidRDefault="001417B8">
            <w:pPr>
              <w:pStyle w:val="TableParagraph"/>
              <w:spacing w:line="252" w:lineRule="exact"/>
            </w:pPr>
            <w:r>
              <w:t>Data para envio de recursos</w:t>
            </w:r>
          </w:p>
        </w:tc>
        <w:tc>
          <w:tcPr>
            <w:tcW w:w="3589" w:type="dxa"/>
          </w:tcPr>
          <w:p w:rsidR="008C2D61" w:rsidRDefault="001417B8">
            <w:pPr>
              <w:pStyle w:val="TableParagraph"/>
              <w:spacing w:line="252" w:lineRule="exact"/>
              <w:ind w:left="238" w:right="212"/>
              <w:jc w:val="center"/>
            </w:pPr>
            <w:r>
              <w:t>28/09/2022</w:t>
            </w:r>
          </w:p>
        </w:tc>
      </w:tr>
      <w:tr w:rsidR="008C2D61">
        <w:trPr>
          <w:trHeight w:val="378"/>
        </w:trPr>
        <w:tc>
          <w:tcPr>
            <w:tcW w:w="5915" w:type="dxa"/>
          </w:tcPr>
          <w:p w:rsidR="008C2D61" w:rsidRDefault="001417B8">
            <w:pPr>
              <w:pStyle w:val="TableParagraph"/>
            </w:pPr>
            <w:r>
              <w:t>Julgamento dos recursos</w:t>
            </w:r>
          </w:p>
        </w:tc>
        <w:tc>
          <w:tcPr>
            <w:tcW w:w="3589" w:type="dxa"/>
          </w:tcPr>
          <w:p w:rsidR="008C2D61" w:rsidRDefault="001417B8">
            <w:pPr>
              <w:pStyle w:val="TableParagraph"/>
              <w:ind w:left="238" w:right="212"/>
              <w:jc w:val="center"/>
            </w:pPr>
            <w:r>
              <w:t>30/09/2022</w:t>
            </w:r>
          </w:p>
        </w:tc>
      </w:tr>
      <w:tr w:rsidR="008C2D61">
        <w:trPr>
          <w:trHeight w:val="378"/>
        </w:trPr>
        <w:tc>
          <w:tcPr>
            <w:tcW w:w="5915" w:type="dxa"/>
          </w:tcPr>
          <w:p w:rsidR="008C2D61" w:rsidRDefault="001417B8">
            <w:pPr>
              <w:pStyle w:val="TableParagraph"/>
            </w:pPr>
            <w:r>
              <w:t>Divulgação do resultado final</w:t>
            </w:r>
          </w:p>
        </w:tc>
        <w:tc>
          <w:tcPr>
            <w:tcW w:w="3589" w:type="dxa"/>
          </w:tcPr>
          <w:p w:rsidR="008C2D61" w:rsidRDefault="001417B8">
            <w:pPr>
              <w:pStyle w:val="TableParagraph"/>
              <w:ind w:left="238" w:right="212"/>
              <w:jc w:val="center"/>
            </w:pPr>
            <w:bookmarkStart w:id="0" w:name="_GoBack"/>
            <w:bookmarkEnd w:id="0"/>
            <w:r>
              <w:t>03/10/2022</w:t>
            </w:r>
          </w:p>
        </w:tc>
      </w:tr>
      <w:tr w:rsidR="008C2D61">
        <w:trPr>
          <w:trHeight w:val="376"/>
        </w:trPr>
        <w:tc>
          <w:tcPr>
            <w:tcW w:w="5915" w:type="dxa"/>
          </w:tcPr>
          <w:p w:rsidR="008C2D61" w:rsidRDefault="001417B8">
            <w:pPr>
              <w:pStyle w:val="TableParagraph"/>
              <w:spacing w:line="252" w:lineRule="exact"/>
            </w:pPr>
            <w:r>
              <w:t>Período máximo de execução da ação</w:t>
            </w:r>
          </w:p>
        </w:tc>
        <w:tc>
          <w:tcPr>
            <w:tcW w:w="3589" w:type="dxa"/>
          </w:tcPr>
          <w:p w:rsidR="008C2D61" w:rsidRDefault="001417B8">
            <w:pPr>
              <w:pStyle w:val="TableParagraph"/>
              <w:spacing w:line="252" w:lineRule="exact"/>
              <w:ind w:left="238" w:right="212"/>
              <w:jc w:val="center"/>
            </w:pPr>
            <w:r>
              <w:t>03/10/2022 a 31/12/2022</w:t>
            </w:r>
          </w:p>
        </w:tc>
      </w:tr>
      <w:tr w:rsidR="008C2D61">
        <w:trPr>
          <w:trHeight w:val="604"/>
        </w:trPr>
        <w:tc>
          <w:tcPr>
            <w:tcW w:w="5915" w:type="dxa"/>
          </w:tcPr>
          <w:p w:rsidR="008C2D61" w:rsidRDefault="001417B8">
            <w:pPr>
              <w:pStyle w:val="TableParagraph"/>
              <w:spacing w:before="111" w:line="248" w:lineRule="exact"/>
              <w:ind w:right="779"/>
            </w:pPr>
            <w:r>
              <w:t>Prazo final para entrega da documentação da/o estudante bolsista</w:t>
            </w:r>
          </w:p>
        </w:tc>
        <w:tc>
          <w:tcPr>
            <w:tcW w:w="3589" w:type="dxa"/>
          </w:tcPr>
          <w:p w:rsidR="008C2D61" w:rsidRDefault="001417B8">
            <w:pPr>
              <w:pStyle w:val="TableParagraph"/>
              <w:ind w:left="238" w:right="212"/>
              <w:jc w:val="center"/>
            </w:pPr>
            <w:r>
              <w:t>10/10/2022</w:t>
            </w:r>
          </w:p>
        </w:tc>
      </w:tr>
      <w:tr w:rsidR="008C2D61">
        <w:trPr>
          <w:trHeight w:val="375"/>
        </w:trPr>
        <w:tc>
          <w:tcPr>
            <w:tcW w:w="5915" w:type="dxa"/>
          </w:tcPr>
          <w:p w:rsidR="008C2D61" w:rsidRDefault="001417B8">
            <w:pPr>
              <w:pStyle w:val="TableParagraph"/>
              <w:spacing w:before="101"/>
              <w:rPr>
                <w:b/>
              </w:rPr>
            </w:pPr>
            <w:r>
              <w:t xml:space="preserve">Entrega do </w:t>
            </w:r>
            <w:r>
              <w:rPr>
                <w:b/>
              </w:rPr>
              <w:t>Relatório de Ação de Extensão</w:t>
            </w:r>
          </w:p>
        </w:tc>
        <w:tc>
          <w:tcPr>
            <w:tcW w:w="3589" w:type="dxa"/>
          </w:tcPr>
          <w:p w:rsidR="008C2D61" w:rsidRDefault="001417B8">
            <w:pPr>
              <w:pStyle w:val="TableParagraph"/>
              <w:spacing w:before="101"/>
              <w:ind w:left="238" w:right="215"/>
              <w:jc w:val="center"/>
            </w:pPr>
            <w:r>
              <w:t>Até 30 dias após o término da ação</w:t>
            </w:r>
          </w:p>
        </w:tc>
      </w:tr>
    </w:tbl>
    <w:p w:rsidR="008C2D61" w:rsidRDefault="008C2D61">
      <w:pPr>
        <w:pStyle w:val="Corpodetexto"/>
        <w:rPr>
          <w:b/>
          <w:sz w:val="24"/>
        </w:rPr>
      </w:pPr>
    </w:p>
    <w:p w:rsidR="008C2D61" w:rsidRDefault="001417B8">
      <w:pPr>
        <w:pStyle w:val="Corpodetexto"/>
        <w:spacing w:before="214"/>
        <w:ind w:left="2204" w:right="2680"/>
        <w:jc w:val="center"/>
      </w:pPr>
      <w:r>
        <w:t>Gisela Loureiro Duarte</w:t>
      </w:r>
    </w:p>
    <w:p w:rsidR="008C2D61" w:rsidRDefault="001417B8">
      <w:pPr>
        <w:pStyle w:val="Corpodetexto"/>
        <w:spacing w:before="165"/>
        <w:ind w:left="3011" w:right="2680"/>
        <w:jc w:val="center"/>
      </w:pPr>
      <w:r>
        <w:t>Pró-reitora de Extensão e Cultura Assinado no original.</w:t>
      </w:r>
    </w:p>
    <w:sectPr w:rsidR="008C2D61">
      <w:type w:val="continuous"/>
      <w:pgSz w:w="11940" w:h="16860"/>
      <w:pgMar w:top="640" w:right="6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61"/>
    <w:rsid w:val="001417B8"/>
    <w:rsid w:val="00365749"/>
    <w:rsid w:val="0042156B"/>
    <w:rsid w:val="007E4A24"/>
    <w:rsid w:val="008C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2C75C-B3EA-4BA7-93F2-277A198C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91"/>
      <w:ind w:left="104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4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4A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A24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Leitzke Pereira</dc:creator>
  <cp:lastModifiedBy>Rafael Madrugra Pereira</cp:lastModifiedBy>
  <cp:revision>2</cp:revision>
  <cp:lastPrinted>2022-09-21T10:55:00Z</cp:lastPrinted>
  <dcterms:created xsi:type="dcterms:W3CDTF">2022-09-21T12:04:00Z</dcterms:created>
  <dcterms:modified xsi:type="dcterms:W3CDTF">2022-09-21T12:04:00Z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