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97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97"/>
        <w:tblGridChange w:id="0">
          <w:tblGrid>
            <w:gridCol w:w="9897"/>
          </w:tblGrid>
        </w:tblGridChange>
      </w:tblGrid>
      <w:tr>
        <w:trPr>
          <w:cantSplit w:val="0"/>
          <w:trHeight w:val="12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0"/>
              <w:spacing w:before="6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480" w:lineRule="auto"/>
              <w:ind w:left="102" w:right="4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DO/A PESQUISADOR/A RESPONSÁVEL PELA BUSCA:</w:t>
            </w:r>
          </w:p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7694"/>
                <w:tab w:val="left" w:leader="none" w:pos="8340"/>
              </w:tabs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UNIDADE / ÁREA:</w:t>
              <w:tab/>
              <w:t xml:space="preserve">DATA:      /      /</w:t>
              <w:tab/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spacing w:before="7"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ind w:left="102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OBJETO DA PESQUISA:</w:t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before="13" w:line="2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PROJETO: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&lt;Nome do projeto&gt;</w:t>
            </w:r>
          </w:p>
        </w:tc>
      </w:tr>
      <w:tr>
        <w:trPr>
          <w:cantSplit w:val="0"/>
          <w:trHeight w:val="2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spacing w:before="25" w:lineRule="auto"/>
              <w:ind w:left="102" w:right="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BANCO E BASE DE DADOS: INPI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(https://busca.inpi.gov.br/pePI/)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before="25" w:lineRule="auto"/>
              <w:ind w:left="102" w:right="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PALAVRAS-CHAVE 01 / Nº DE DOCUMENTOS LOCALIZADOS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 /…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before="1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 / …</w:t>
            </w:r>
          </w:p>
        </w:tc>
      </w:tr>
      <w:tr>
        <w:trPr>
          <w:cantSplit w:val="0"/>
          <w:trHeight w:val="2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ind w:left="13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BASE DE DADOS: EPO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pedidos de patentes depositados na Espanha e em países da América Latina)</w:t>
            </w:r>
          </w:p>
          <w:p w:rsidR="00000000" w:rsidDel="00000000" w:rsidP="00000000" w:rsidRDefault="00000000" w:rsidRPr="00000000" w14:paraId="00000010">
            <w:pPr>
              <w:widowControl w:val="0"/>
              <w:spacing w:before="25" w:lineRule="auto"/>
              <w:ind w:left="141.73228346456688" w:right="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PALAVRAS-CHAVE 01 / Nº DE DOCUMENTOS LOCALIZADOS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 /…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before="1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 / 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ind w:left="13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BANCO E BASE DE DADOS: Google Patents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  <w:u w:val="single"/>
                  <w:rtl w:val="0"/>
                </w:rPr>
                <w:t xml:space="preserve">(www.google.com/patents</w:t>
              </w:r>
            </w:hyperlink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before="25" w:lineRule="auto"/>
              <w:ind w:left="141.73228346456688" w:right="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PALAVRAS-CHAVE 01 / Nº DE DOCUMENTOS LOCALIZADOS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 /…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before="1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 / …</w:t>
            </w:r>
          </w:p>
        </w:tc>
      </w:tr>
      <w:tr>
        <w:trPr>
          <w:cantSplit w:val="0"/>
          <w:trHeight w:val="2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BANCO E BASE DE DADOS: ESPACENET (EUROPA) -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000000"/>
                  <w:sz w:val="22"/>
                  <w:szCs w:val="22"/>
                  <w:u w:val="single"/>
                  <w:rtl w:val="0"/>
                </w:rPr>
                <w:t xml:space="preserve">(http://worldwide.espacenet.com/</w:t>
              </w:r>
            </w:hyperlink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before="25" w:lineRule="auto"/>
              <w:ind w:left="102" w:right="56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PALAVRAS-CHAVE 01 / Nº DE DOCUMENTOS LOCALIZADOS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 /…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1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before="1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 / …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52.00000000000003" w:lineRule="auto"/>
              <w:ind w:left="102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before="4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ind w:left="102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AVISOS IMPORTANTES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4" w:line="252.00000000000003" w:lineRule="auto"/>
              <w:ind w:left="102" w:right="64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1- Para realização das buscas de anterioridade nas bases de dados acima mencionadas sugere-se a consulta ao ‘Guia Prático para Busca de Patentes” do Instituto Nacional de Propriedade Industrial - INPI, por meio do site: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https://www.gov.br/inpi/pt-br/assuntos/informacao/guia-pratico-para-buscas-de-patentes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;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6">
            <w:pPr>
              <w:widowControl w:val="0"/>
              <w:spacing w:before="4" w:line="252.00000000000003" w:lineRule="auto"/>
              <w:ind w:left="102" w:right="64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busca prévia de anterioridade é uma amostragem e não verifica os documentos de patentes que estão em período de sigilo a partir da data de pedido de depósito, nos escritórios oficiais, que é de 18 meses. Portanto, se algum documento similar ou igual estiver no período de sigilo, vale o recurso para o primeiro depositante. Além do que foi exposto anteriormente, a busca prévia não garante a abrangência do campo de pesquisa bibliográfica na totalidade da literatura técnica publicada no mundo.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4" w:line="252.00000000000003" w:lineRule="auto"/>
              <w:ind w:left="102" w:right="6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38" w:w="11906" w:orient="portrait"/>
      <w:pgMar w:bottom="720" w:top="766" w:left="720" w:right="720" w:header="709" w:footer="51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89355" cy="63944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  <w:t xml:space="preserve">                                                    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SUL-RIO-GRANDENSE</w:t>
    </w:r>
  </w:p>
  <w:p w:rsidR="00000000" w:rsidDel="00000000" w:rsidP="00000000" w:rsidRDefault="00000000" w:rsidRPr="00000000" w14:paraId="0000002F">
    <w:pPr>
      <w:tabs>
        <w:tab w:val="center" w:leader="none" w:pos="4419"/>
        <w:tab w:val="right" w:leader="none" w:pos="8838"/>
      </w:tabs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     PRÓ-REITORIA DE PESQUISA, INOVAÇÃO 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jc w:val="center"/>
      <w:rPr>
        <w:rFonts w:ascii="Arial" w:cs="Arial" w:eastAsia="Arial" w:hAnsi="Arial"/>
        <w:b w:val="1"/>
        <w:smallCaps w:val="1"/>
      </w:rPr>
    </w:pPr>
    <w:r w:rsidDel="00000000" w:rsidR="00000000" w:rsidRPr="00000000">
      <w:rPr>
        <w:rFonts w:ascii="Arial" w:cs="Arial" w:eastAsia="Arial" w:hAnsi="Arial"/>
        <w:b w:val="1"/>
        <w:smallCaps w:val="1"/>
        <w:rtl w:val="0"/>
      </w:rPr>
      <w:t xml:space="preserve">EDITAL PROPESP – N° 06/2024 APOIO FINANCEIRO E BOLSAS A PROJETOS DE PESQUISA E INOVAÇÃO/IFSUL</w:t>
    </w:r>
  </w:p>
  <w:p w:rsidR="00000000" w:rsidDel="00000000" w:rsidP="00000000" w:rsidRDefault="00000000" w:rsidRPr="00000000" w14:paraId="00000033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Anexo E – Formulário de busca de anterioridade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link w:val="Textodebalo"/>
    <w:qFormat w:val="1"/>
    <w:rsid w:val="004C266A"/>
    <w:rPr>
      <w:rFonts w:ascii="Tahoma" w:cs="Tahoma" w:hAnsi="Tahoma"/>
      <w:sz w:val="16"/>
      <w:szCs w:val="16"/>
    </w:rPr>
  </w:style>
  <w:style w:type="character" w:styleId="LinkdaInternet" w:customStyle="1">
    <w:name w:val="Link da Internet"/>
    <w:uiPriority w:val="99"/>
    <w:rsid w:val="00500E66"/>
    <w:rPr>
      <w:color w:val="0000ff"/>
      <w:u w:val="single"/>
    </w:rPr>
  </w:style>
  <w:style w:type="character" w:styleId="CabealhoChar" w:customStyle="1">
    <w:name w:val="Cabeçalho Char"/>
    <w:link w:val="Cabealho"/>
    <w:uiPriority w:val="99"/>
    <w:qFormat w:val="1"/>
    <w:rsid w:val="009D7CBB"/>
    <w:rPr>
      <w:sz w:val="24"/>
      <w:szCs w:val="24"/>
    </w:rPr>
  </w:style>
  <w:style w:type="character" w:styleId="RodapChar" w:customStyle="1">
    <w:name w:val="Rodapé Char"/>
    <w:link w:val="Rodap"/>
    <w:uiPriority w:val="99"/>
    <w:qFormat w:val="1"/>
    <w:rsid w:val="009D7CBB"/>
    <w:rPr>
      <w:sz w:val="24"/>
      <w:szCs w:val="24"/>
    </w:rPr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Courier New"/>
    </w:rPr>
  </w:style>
  <w:style w:type="character" w:styleId="ListLabel6" w:customStyle="1">
    <w:name w:val="ListLabel 6"/>
    <w:qFormat w:val="1"/>
    <w:rPr>
      <w:rFonts w:cs="Courier New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qFormat w:val="1"/>
    <w:rPr>
      <w:rFonts w:cs="Courier New"/>
    </w:rPr>
  </w:style>
  <w:style w:type="character" w:styleId="ListLabel9" w:customStyle="1">
    <w:name w:val="ListLabel 9"/>
    <w:qFormat w:val="1"/>
    <w:rPr>
      <w:rFonts w:cs="Courier New"/>
    </w:rPr>
  </w:style>
  <w:style w:type="character" w:styleId="ListLabel10" w:customStyle="1">
    <w:name w:val="ListLabel 10"/>
    <w:qFormat w:val="1"/>
    <w:rPr>
      <w:rFonts w:asciiTheme="minorHAnsi" w:cstheme="minorHAnsi" w:hAnsiTheme="minorHAnsi"/>
      <w:spacing w:val="1"/>
      <w:sz w:val="22"/>
      <w:szCs w:val="20"/>
    </w:rPr>
  </w:style>
  <w:style w:type="character" w:styleId="ListLabel11" w:customStyle="1">
    <w:name w:val="ListLabel 11"/>
    <w:qFormat w:val="1"/>
    <w:rPr>
      <w:rFonts w:asciiTheme="minorHAnsi" w:cstheme="minorHAnsi" w:hAnsiTheme="minorHAnsi"/>
      <w:spacing w:val="-3"/>
      <w:sz w:val="22"/>
      <w:szCs w:val="20"/>
      <w:u w:val="single"/>
    </w:rPr>
  </w:style>
  <w:style w:type="character" w:styleId="ListLabel12" w:customStyle="1">
    <w:name w:val="ListLabel 12"/>
    <w:qFormat w:val="1"/>
    <w:rPr>
      <w:rFonts w:asciiTheme="minorHAnsi" w:cstheme="minorHAnsi" w:hAnsiTheme="minorHAnsi"/>
      <w:sz w:val="22"/>
      <w:szCs w:val="20"/>
      <w:u w:val="single"/>
    </w:rPr>
  </w:style>
  <w:style w:type="character" w:styleId="ListLabel13" w:customStyle="1">
    <w:name w:val="ListLabel 13"/>
    <w:qFormat w:val="1"/>
    <w:rPr>
      <w:rFonts w:asciiTheme="minorHAnsi" w:cstheme="minorHAnsi" w:hAnsiTheme="minorHAnsi"/>
      <w:spacing w:val="3"/>
      <w:sz w:val="22"/>
      <w:szCs w:val="20"/>
      <w:u w:val="single"/>
    </w:rPr>
  </w:style>
  <w:style w:type="character" w:styleId="ListLabel14" w:customStyle="1">
    <w:name w:val="ListLabel 14"/>
    <w:qFormat w:val="1"/>
    <w:rPr>
      <w:rFonts w:asciiTheme="minorHAnsi" w:cstheme="minorHAnsi" w:hAnsiTheme="minorHAnsi"/>
      <w:spacing w:val="-1"/>
      <w:sz w:val="22"/>
      <w:szCs w:val="20"/>
      <w:u w:val="single"/>
    </w:rPr>
  </w:style>
  <w:style w:type="character" w:styleId="ListLabel15" w:customStyle="1">
    <w:name w:val="ListLabel 15"/>
    <w:qFormat w:val="1"/>
    <w:rPr>
      <w:rFonts w:asciiTheme="minorHAnsi" w:cstheme="minorHAnsi" w:hAnsiTheme="minorHAnsi"/>
      <w:spacing w:val="1"/>
      <w:sz w:val="22"/>
      <w:szCs w:val="20"/>
      <w:u w:val="single"/>
    </w:rPr>
  </w:style>
  <w:style w:type="character" w:styleId="ListLabel16" w:customStyle="1">
    <w:name w:val="ListLabel 16"/>
    <w:qFormat w:val="1"/>
    <w:rPr>
      <w:rFonts w:asciiTheme="minorHAnsi" w:cstheme="minorHAnsi" w:hAnsiTheme="minorHAnsi"/>
      <w:spacing w:val="2"/>
      <w:sz w:val="22"/>
      <w:szCs w:val="20"/>
      <w:u w:val="single"/>
    </w:rPr>
  </w:style>
  <w:style w:type="character" w:styleId="ListLabel17" w:customStyle="1">
    <w:name w:val="ListLabel 17"/>
    <w:qFormat w:val="1"/>
    <w:rPr>
      <w:rFonts w:asciiTheme="minorHAnsi" w:cstheme="minorHAnsi" w:hAnsiTheme="minorHAnsi"/>
      <w:color w:val="auto"/>
      <w:spacing w:val="1"/>
      <w:sz w:val="22"/>
      <w:szCs w:val="20"/>
    </w:rPr>
  </w:style>
  <w:style w:type="character" w:styleId="ListLabel18" w:customStyle="1">
    <w:name w:val="ListLabel 18"/>
    <w:qFormat w:val="1"/>
    <w:rPr>
      <w:rFonts w:asciiTheme="minorHAnsi" w:cstheme="minorHAnsi" w:hAnsiTheme="minorHAnsi"/>
      <w:color w:val="auto"/>
      <w:spacing w:val="-3"/>
      <w:sz w:val="22"/>
      <w:szCs w:val="20"/>
    </w:rPr>
  </w:style>
  <w:style w:type="character" w:styleId="ListLabel19" w:customStyle="1">
    <w:name w:val="ListLabel 19"/>
    <w:qFormat w:val="1"/>
    <w:rPr>
      <w:rFonts w:asciiTheme="minorHAnsi" w:cstheme="minorHAnsi" w:hAnsiTheme="minorHAnsi"/>
      <w:color w:val="auto"/>
      <w:spacing w:val="-1"/>
      <w:sz w:val="22"/>
      <w:szCs w:val="20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bealho">
    <w:name w:val="header"/>
    <w:basedOn w:val="Normal"/>
    <w:link w:val="CabealhoChar"/>
    <w:uiPriority w:val="99"/>
    <w:rsid w:val="007E1A0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E1A0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 w:val="1"/>
    <w:rsid w:val="004C266A"/>
    <w:rPr>
      <w:rFonts w:ascii="Tahoma" w:hAnsi="Tahoma"/>
      <w:sz w:val="16"/>
      <w:szCs w:val="16"/>
      <w:lang w:eastAsia="x-none" w:val="x-none"/>
    </w:rPr>
  </w:style>
  <w:style w:type="paragraph" w:styleId="SemEspaamento">
    <w:name w:val="No Spacing"/>
    <w:uiPriority w:val="1"/>
    <w:qFormat w:val="1"/>
    <w:rsid w:val="00535F97"/>
    <w:rPr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031B4A"/>
    <w:pPr>
      <w:ind w:left="720"/>
      <w:contextualSpacing w:val="1"/>
    </w:pPr>
  </w:style>
  <w:style w:type="table" w:styleId="Tabelacomgrade">
    <w:name w:val="Table Grid"/>
    <w:basedOn w:val="Tabelanormal"/>
    <w:rsid w:val="00FB5D8A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br/inpi/pt-br/assuntos/informacao/guia-pratico-para-buscas-de-patent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oogle.com/patents" TargetMode="External"/><Relationship Id="rId8" Type="http://schemas.openxmlformats.org/officeDocument/2006/relationships/hyperlink" Target="about:blank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sXLusR7DtMgcV2BgoPsUNq5ksA==">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2022-03-17T09:29:00Z</dcterms:created>
  <dc:creator>Docente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AppVersion">
    <vt:lpwstr>15.0000</vt:lpwstr>
  </property>
  <property fmtid="{D5CDD505-2E9C-101B-9397-08002B2CF9AE}" pid="10" name="ScaleCrop">
    <vt:lpwstr>false</vt:lpwstr>
  </property>
  <property fmtid="{D5CDD505-2E9C-101B-9397-08002B2CF9AE}" pid="11" name="Company">
    <vt:lpwstr>xxx</vt:lpwstr>
  </property>
  <property fmtid="{D5CDD505-2E9C-101B-9397-08002B2CF9AE}" pid="12" name="DocSecurity">
    <vt:lpwstr>0</vt:lpwstr>
  </property>
  <property fmtid="{D5CDD505-2E9C-101B-9397-08002B2CF9AE}" pid="13" name="HyperlinksChanged">
    <vt:lpwstr>false</vt:lpwstr>
  </property>
  <property fmtid="{D5CDD505-2E9C-101B-9397-08002B2CF9AE}" pid="14" name="LinksUpToDate">
    <vt:lpwstr>false</vt:lpwstr>
  </property>
  <property fmtid="{D5CDD505-2E9C-101B-9397-08002B2CF9AE}" pid="15" name="ShareDoc">
    <vt:lpwstr>false</vt:lpwstr>
  </property>
</Properties>
</file>