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3AF33A45" w14:textId="77777777" w:rsidR="002D3587" w:rsidRDefault="002D3587" w:rsidP="002D3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  <w:t>EDITAL PROPESP 08 - 2020 - BOLSAS - INICIAÇÃO CIENTÍFICA NAS AÇÕES AFIRMATIVAS</w:t>
      </w:r>
    </w:p>
    <w:p w14:paraId="61DDC7CF" w14:textId="04C8E623" w:rsidR="00A04027" w:rsidRPr="00AF6015" w:rsidRDefault="005D3712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>
        <w:rPr>
          <w:rFonts w:ascii="Century Gothic" w:hAnsi="Century Gothic" w:cs="Arial"/>
          <w:caps/>
          <w:sz w:val="20"/>
        </w:rPr>
        <w:t xml:space="preserve">EXECUÇÃO: 01 de </w:t>
      </w:r>
      <w:proofErr w:type="gramStart"/>
      <w:r>
        <w:rPr>
          <w:rFonts w:ascii="Century Gothic" w:hAnsi="Century Gothic" w:cs="Arial"/>
          <w:caps/>
          <w:sz w:val="20"/>
        </w:rPr>
        <w:t>AGOSTO</w:t>
      </w:r>
      <w:proofErr w:type="gramEnd"/>
      <w:r>
        <w:rPr>
          <w:rFonts w:ascii="Century Gothic" w:hAnsi="Century Gothic" w:cs="Arial"/>
          <w:caps/>
          <w:sz w:val="20"/>
        </w:rPr>
        <w:t xml:space="preserve"> DE 2020</w:t>
      </w:r>
      <w:r w:rsidR="00D57979">
        <w:rPr>
          <w:rFonts w:ascii="Century Gothic" w:hAnsi="Century Gothic" w:cs="Arial"/>
          <w:caps/>
          <w:sz w:val="20"/>
        </w:rPr>
        <w:t xml:space="preserve"> a 31 de julho DE 202</w:t>
      </w:r>
      <w:r>
        <w:rPr>
          <w:rFonts w:ascii="Century Gothic" w:hAnsi="Century Gothic" w:cs="Arial"/>
          <w:caps/>
          <w:sz w:val="20"/>
        </w:rPr>
        <w:t>1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D57979" w:rsidRPr="00B00F47" w14:paraId="65DDB043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9D859" w14:textId="508EBF9D" w:rsidR="00D57979" w:rsidRPr="00B00F47" w:rsidRDefault="00D5797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Palavras-chave: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6C1EE837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BCB" w14:textId="7AFFF93D" w:rsidR="00CD26F9" w:rsidRPr="00B00F47" w:rsidRDefault="00E835E0" w:rsidP="00D26D3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Sub</w:t>
            </w:r>
            <w:r w:rsidR="00D57979">
              <w:rPr>
                <w:rFonts w:ascii="Century Gothic" w:hAnsi="Century Gothic" w:cs="Arial"/>
                <w:sz w:val="20"/>
              </w:rPr>
              <w:t xml:space="preserve">metido ao Edital </w:t>
            </w:r>
            <w:r w:rsidR="00DC77AD">
              <w:rPr>
                <w:rFonts w:ascii="Century Gothic" w:hAnsi="Century Gothic" w:cs="Arial"/>
                <w:sz w:val="20"/>
              </w:rPr>
              <w:t>INDUTIVO PROPESP 0</w:t>
            </w:r>
            <w:r w:rsidR="00D26D39">
              <w:rPr>
                <w:rFonts w:ascii="Century Gothic" w:hAnsi="Century Gothic" w:cs="Arial"/>
                <w:sz w:val="20"/>
              </w:rPr>
              <w:t>1</w:t>
            </w:r>
            <w:r w:rsidR="00D57979">
              <w:rPr>
                <w:rFonts w:ascii="Century Gothic" w:hAnsi="Century Gothic" w:cs="Arial"/>
                <w:sz w:val="20"/>
              </w:rPr>
              <w:t>/20</w:t>
            </w:r>
            <w:r w:rsidR="00D26D39">
              <w:rPr>
                <w:rFonts w:ascii="Century Gothic" w:hAnsi="Century Gothic" w:cs="Arial"/>
                <w:sz w:val="20"/>
              </w:rPr>
              <w:t>20</w:t>
            </w:r>
            <w:r w:rsidR="008E54F2">
              <w:rPr>
                <w:rFonts w:ascii="Century Gothic" w:hAnsi="Century Gothic" w:cs="Arial"/>
                <w:sz w:val="20"/>
              </w:rPr>
              <w:t xml:space="preserve"> – Projetos de Pesquisa</w:t>
            </w:r>
            <w:r w:rsidR="00CD26F9" w:rsidRPr="00B00F47">
              <w:rPr>
                <w:rFonts w:ascii="Century Gothic" w:hAnsi="Century Gothic" w:cs="Arial"/>
                <w:sz w:val="20"/>
              </w:rPr>
              <w:t xml:space="preserve">: </w:t>
            </w:r>
            <w:proofErr w:type="gramStart"/>
            <w:r w:rsidR="00CD26F9" w:rsidRPr="00B00F47">
              <w:rPr>
                <w:rFonts w:ascii="Century Gothic" w:hAnsi="Century Gothic" w:cs="Arial"/>
                <w:sz w:val="20"/>
              </w:rPr>
              <w:t>(  )</w:t>
            </w:r>
            <w:proofErr w:type="gramEnd"/>
            <w:r w:rsidR="00CD26F9" w:rsidRPr="00B00F47">
              <w:rPr>
                <w:rFonts w:ascii="Century Gothic" w:hAnsi="Century Gothic" w:cs="Arial"/>
                <w:sz w:val="20"/>
              </w:rPr>
              <w:t xml:space="preserve"> Sim  (  ) Não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1A003065" w:rsidR="00CD26F9" w:rsidRPr="00B00F47" w:rsidRDefault="00CD26F9" w:rsidP="00D26D39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01 DE </w:t>
            </w:r>
            <w:proofErr w:type="gramStart"/>
            <w:r w:rsidR="008E54F2" w:rsidRPr="008E54F2">
              <w:rPr>
                <w:rFonts w:ascii="Century Gothic" w:hAnsi="Century Gothic" w:cs="Arial"/>
                <w:sz w:val="20"/>
              </w:rPr>
              <w:t>AGOSTO</w:t>
            </w:r>
            <w:proofErr w:type="gramEnd"/>
            <w:r w:rsidR="008E54F2" w:rsidRPr="008E54F2">
              <w:rPr>
                <w:rFonts w:ascii="Century Gothic" w:hAnsi="Century Gothic" w:cs="Arial"/>
                <w:sz w:val="20"/>
              </w:rPr>
              <w:t xml:space="preserve"> DE 20</w:t>
            </w:r>
            <w:r w:rsidR="00D26D39">
              <w:rPr>
                <w:rFonts w:ascii="Century Gothic" w:hAnsi="Century Gothic" w:cs="Arial"/>
                <w:sz w:val="20"/>
              </w:rPr>
              <w:t>20</w:t>
            </w:r>
            <w:r w:rsidR="00D57979">
              <w:rPr>
                <w:rFonts w:ascii="Century Gothic" w:hAnsi="Century Gothic" w:cs="Arial"/>
                <w:sz w:val="20"/>
              </w:rPr>
              <w:t xml:space="preserve"> A 31 DE JULHO DE 202</w:t>
            </w:r>
            <w:r w:rsidR="00D26D39">
              <w:rPr>
                <w:rFonts w:ascii="Century Gothic" w:hAnsi="Century Gothic" w:cs="Arial"/>
                <w:sz w:val="20"/>
              </w:rPr>
              <w:t>1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4E829CC8" w:rsidR="001E2EBA" w:rsidRPr="001E2EBA" w:rsidRDefault="00525140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Marcar com “x” o</w:t>
            </w:r>
            <w:r w:rsidR="00DC77AD">
              <w:rPr>
                <w:rFonts w:ascii="Century Gothic" w:hAnsi="Century Gothic" w:cs="Arial"/>
                <w:b/>
                <w:sz w:val="20"/>
              </w:rPr>
              <w:t xml:space="preserve"> nível </w:t>
            </w:r>
            <w:proofErr w:type="gramStart"/>
            <w:r w:rsidR="00DC77AD">
              <w:rPr>
                <w:rFonts w:ascii="Century Gothic" w:hAnsi="Century Gothic" w:cs="Arial"/>
                <w:b/>
                <w:sz w:val="20"/>
              </w:rPr>
              <w:t xml:space="preserve">do </w:t>
            </w:r>
            <w:r>
              <w:rPr>
                <w:rFonts w:ascii="Century Gothic" w:hAnsi="Century Gothic" w:cs="Arial"/>
                <w:b/>
                <w:sz w:val="20"/>
              </w:rPr>
              <w:t xml:space="preserve"> bolsista</w:t>
            </w:r>
            <w:proofErr w:type="gramEnd"/>
            <w:r>
              <w:rPr>
                <w:rFonts w:ascii="Century Gothic" w:hAnsi="Century Gothic" w:cs="Arial"/>
                <w:b/>
                <w:sz w:val="20"/>
              </w:rPr>
              <w:t xml:space="preserve"> que pretende selecionar</w:t>
            </w:r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2D3587" w:rsidRPr="00B00F47" w14:paraId="171833B3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20A" w14:textId="64EF898C" w:rsidR="002D3587" w:rsidRPr="00B00F47" w:rsidRDefault="002D3587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RG:                                                                     Órgão emissor: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Enquadramento funcional: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130140BF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  <w:proofErr w:type="gramStart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(  </w:t>
            </w:r>
            <w:proofErr w:type="gramEnd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  ) graduado(a) </w:t>
            </w:r>
            <w:bookmarkStart w:id="0" w:name="_GoBack"/>
            <w:bookmarkEnd w:id="0"/>
            <w:r w:rsidRPr="00B00F47">
              <w:rPr>
                <w:rFonts w:ascii="Century Gothic" w:hAnsi="Century Gothic" w:cs="Arial"/>
                <w:sz w:val="20"/>
              </w:rPr>
              <w:t>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DA7DA" w14:textId="77777777" w:rsidR="00DD354E" w:rsidRDefault="00DD354E">
      <w:r>
        <w:separator/>
      </w:r>
    </w:p>
  </w:endnote>
  <w:endnote w:type="continuationSeparator" w:id="0">
    <w:p w14:paraId="298BF918" w14:textId="77777777" w:rsidR="00DD354E" w:rsidRDefault="00D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DD565" w14:textId="77777777" w:rsidR="00DD354E" w:rsidRDefault="00DD354E">
      <w:r>
        <w:separator/>
      </w:r>
    </w:p>
  </w:footnote>
  <w:footnote w:type="continuationSeparator" w:id="0">
    <w:p w14:paraId="35CC9685" w14:textId="77777777" w:rsidR="00DD354E" w:rsidRDefault="00DD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54443382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358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354E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5901-7FB6-45FA-BDCA-0300F28D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1151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10</cp:revision>
  <cp:lastPrinted>2014-09-29T13:33:00Z</cp:lastPrinted>
  <dcterms:created xsi:type="dcterms:W3CDTF">2019-03-25T14:08:00Z</dcterms:created>
  <dcterms:modified xsi:type="dcterms:W3CDTF">2020-06-23T21:50:00Z</dcterms:modified>
</cp:coreProperties>
</file>